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1F0F" w14:textId="77777777" w:rsidR="00B16A32" w:rsidRDefault="00B16A32"/>
    <w:p w14:paraId="003C51A7" w14:textId="77777777" w:rsidR="00AA36C8" w:rsidRDefault="00AA36C8" w:rsidP="00AA36C8">
      <w:r>
        <w:t xml:space="preserve">Neighborhood Center </w:t>
      </w:r>
    </w:p>
    <w:p w14:paraId="251526EC" w14:textId="77777777" w:rsidR="00AA36C8" w:rsidRDefault="00AA36C8" w:rsidP="00AA36C8">
      <w:r>
        <w:t>Provides for the sales of convenience goods (food, drugs, etc.) and personal services (laundry, dry cleaning, etc.) for day-to-day living needs of the immediate neighborhood with a supermarket being the principal tenant. In theory, the typical GLA is 50,000 square feet. In practice, the GLA may range from 30,000 to 100,000 square feet.</w:t>
      </w:r>
    </w:p>
    <w:p w14:paraId="3782E881" w14:textId="77777777" w:rsidR="00AA36C8" w:rsidRDefault="00AA36C8" w:rsidP="00AA36C8">
      <w:r>
        <w:t xml:space="preserve">Community Center </w:t>
      </w:r>
    </w:p>
    <w:p w14:paraId="341E6AA4" w14:textId="77777777" w:rsidR="00AA36C8" w:rsidRDefault="00AA36C8" w:rsidP="00AA36C8">
      <w:r>
        <w:t>Typically offers a wider range of apparel and other soft goods than neighborhood centers. Among the more common anchors are supermarkets, super drugstores, and discount department stores. Community center tenants sometimes contain value-oriented big-box category dominant retailers selling such items as apparel, home improvement/furnishings, toys, electronics or sporting goods. The center is usually configured in a straight line as a strip, or may be laid out in an L or U shape, depending on the site and design. Of all the center types, community centers encompass the widest range of formats. For example, certain centers that are anchored by a large discount department store often have a discount focus. Others with a high percentage of square footage allocated to off-price retailers can be termed as off-price centers. The size of such a center ranges from 100,000 to 350,000 square feet.</w:t>
      </w:r>
    </w:p>
    <w:p w14:paraId="0DEDDDE3" w14:textId="77777777" w:rsidR="00AA36C8" w:rsidRDefault="00AA36C8" w:rsidP="00AA36C8">
      <w:r>
        <w:t xml:space="preserve">Strip Center </w:t>
      </w:r>
    </w:p>
    <w:p w14:paraId="79660BCD" w14:textId="77777777" w:rsidR="00AA36C8" w:rsidRDefault="00AA36C8" w:rsidP="00AA36C8">
      <w:r>
        <w:t>A strip center is an attached row of stores or service outlets managed as a coherent retail entity, with on-site parking usually located in front of the stores. Open canopies may connect the storefronts, but a strip center does not have enclosed walkways linking the stores. A strip center may be configured in a straight line, or have an "L" or "U" shape.</w:t>
      </w:r>
    </w:p>
    <w:p w14:paraId="5ADFBC78" w14:textId="77777777" w:rsidR="00AA36C8" w:rsidRDefault="00AA36C8" w:rsidP="00AA36C8">
      <w:r>
        <w:t xml:space="preserve">Power Center </w:t>
      </w:r>
    </w:p>
    <w:p w14:paraId="544E3151" w14:textId="77777777" w:rsidR="00AA36C8" w:rsidRDefault="00AA36C8" w:rsidP="00AA36C8">
      <w:r>
        <w:t>The center typically consists of several freestanding (unconnected) anchors and only a minimum amount of small specialty tenants. 250,000 -- 600,000 SF. A Power Center is dominated by several large anchors, including discount department stores, off-price stores, warehouse clubs, or "category killers," i.e., stores that offer tremendous selection in a particular merchandise category at low prices.</w:t>
      </w:r>
    </w:p>
    <w:p w14:paraId="56C6D594" w14:textId="77777777" w:rsidR="00AA36C8" w:rsidRDefault="00AA36C8" w:rsidP="00AA36C8">
      <w:r>
        <w:t xml:space="preserve">Lifestyle Center </w:t>
      </w:r>
    </w:p>
    <w:p w14:paraId="24FC70D9" w14:textId="77777777" w:rsidR="00AA36C8" w:rsidRDefault="00AA36C8" w:rsidP="00AA36C8">
      <w:r>
        <w:t xml:space="preserve">An upscale, specialty retail, </w:t>
      </w:r>
      <w:proofErr w:type="spellStart"/>
      <w:r>
        <w:t>mainstreet</w:t>
      </w:r>
      <w:proofErr w:type="spellEnd"/>
      <w:r>
        <w:t xml:space="preserve"> concept shopping center. An open center, usually without anchors, about 300,000 SF GLA or larger, located near affluent neighborhoods, includes upscale retail, trendy restaurants and entertainment retail. Nicely landscaped with convenient parking located close to the stores.  </w:t>
      </w:r>
    </w:p>
    <w:p w14:paraId="038205C2" w14:textId="77777777" w:rsidR="00AA36C8" w:rsidRDefault="00AA36C8" w:rsidP="00AA36C8">
      <w:r>
        <w:t xml:space="preserve">Regional Mall </w:t>
      </w:r>
    </w:p>
    <w:p w14:paraId="2E239D8C" w14:textId="77777777" w:rsidR="00AA36C8" w:rsidRDefault="00AA36C8" w:rsidP="00AA36C8">
      <w:r>
        <w:lastRenderedPageBreak/>
        <w:t>Provides shopping goods, general merchandise, apparel, and furniture, and home furnishings in full depth and variety. It is built around the full-line department store with a minimum GLA of 100,000 square feet, as the major drawing power. For even greater comparative shopping, two, three, or more department stores may be included. In theory a regional center has a GLA of 400,000 square feet, and may range from 300,000 to more than 1,000,000 square feet. Regional centers in excess of 750,000 square feet GLA with three or more department stores are considered Super Regional.</w:t>
      </w:r>
    </w:p>
    <w:p w14:paraId="275FD4EF" w14:textId="77777777" w:rsidR="00AA36C8" w:rsidRDefault="00AA36C8" w:rsidP="00AA36C8">
      <w:r>
        <w:t xml:space="preserve">Super Regional Mall </w:t>
      </w:r>
    </w:p>
    <w:p w14:paraId="22789CD5" w14:textId="475C65F8" w:rsidR="00AA36C8" w:rsidRDefault="00AA36C8" w:rsidP="00AA36C8">
      <w:r>
        <w:t xml:space="preserve">Similar to a regional mall, but because of its larger size, a </w:t>
      </w:r>
      <w:r w:rsidR="009D5489">
        <w:t>super-regional</w:t>
      </w:r>
      <w:r>
        <w:t xml:space="preserve"> mall has more anchors, a deeper selection of merchandise, and draws from a larger population base. As with regional malls, the typical configuration is as an enclosed mall, frequently with multiple levels.</w:t>
      </w:r>
    </w:p>
    <w:p w14:paraId="322A33BB" w14:textId="77777777" w:rsidR="006823CC" w:rsidRDefault="006823CC" w:rsidP="006823CC"/>
    <w:sectPr w:rsidR="00682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C8"/>
    <w:rsid w:val="000F1D7C"/>
    <w:rsid w:val="00254762"/>
    <w:rsid w:val="0043287A"/>
    <w:rsid w:val="006823CC"/>
    <w:rsid w:val="009D5489"/>
    <w:rsid w:val="00AA36C8"/>
    <w:rsid w:val="00AC75BE"/>
    <w:rsid w:val="00B16A32"/>
    <w:rsid w:val="00C6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608E"/>
  <w15:chartTrackingRefBased/>
  <w15:docId w15:val="{987851C1-DE3B-4885-BC93-C1BF3567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0754">
      <w:bodyDiv w:val="1"/>
      <w:marLeft w:val="0"/>
      <w:marRight w:val="0"/>
      <w:marTop w:val="0"/>
      <w:marBottom w:val="0"/>
      <w:divBdr>
        <w:top w:val="none" w:sz="0" w:space="0" w:color="auto"/>
        <w:left w:val="none" w:sz="0" w:space="0" w:color="auto"/>
        <w:bottom w:val="none" w:sz="0" w:space="0" w:color="auto"/>
        <w:right w:val="none" w:sz="0" w:space="0" w:color="auto"/>
      </w:divBdr>
      <w:divsChild>
        <w:div w:id="765153786">
          <w:marLeft w:val="0"/>
          <w:marRight w:val="0"/>
          <w:marTop w:val="0"/>
          <w:marBottom w:val="0"/>
          <w:divBdr>
            <w:top w:val="none" w:sz="0" w:space="0" w:color="auto"/>
            <w:left w:val="none" w:sz="0" w:space="0" w:color="auto"/>
            <w:bottom w:val="none" w:sz="0" w:space="0" w:color="auto"/>
            <w:right w:val="none" w:sz="0" w:space="0" w:color="auto"/>
          </w:divBdr>
          <w:divsChild>
            <w:div w:id="1911621133">
              <w:marLeft w:val="0"/>
              <w:marRight w:val="0"/>
              <w:marTop w:val="0"/>
              <w:marBottom w:val="0"/>
              <w:divBdr>
                <w:top w:val="none" w:sz="0" w:space="0" w:color="auto"/>
                <w:left w:val="none" w:sz="0" w:space="0" w:color="auto"/>
                <w:bottom w:val="none" w:sz="0" w:space="0" w:color="auto"/>
                <w:right w:val="none" w:sz="0" w:space="0" w:color="auto"/>
              </w:divBdr>
              <w:divsChild>
                <w:div w:id="1064986357">
                  <w:marLeft w:val="0"/>
                  <w:marRight w:val="0"/>
                  <w:marTop w:val="600"/>
                  <w:marBottom w:val="0"/>
                  <w:divBdr>
                    <w:top w:val="none" w:sz="0" w:space="0" w:color="auto"/>
                    <w:left w:val="none" w:sz="0" w:space="0" w:color="auto"/>
                    <w:bottom w:val="none" w:sz="0" w:space="0" w:color="auto"/>
                    <w:right w:val="none" w:sz="0" w:space="0" w:color="auto"/>
                  </w:divBdr>
                  <w:divsChild>
                    <w:div w:id="2868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37035">
      <w:bodyDiv w:val="1"/>
      <w:marLeft w:val="0"/>
      <w:marRight w:val="0"/>
      <w:marTop w:val="0"/>
      <w:marBottom w:val="0"/>
      <w:divBdr>
        <w:top w:val="none" w:sz="0" w:space="0" w:color="auto"/>
        <w:left w:val="none" w:sz="0" w:space="0" w:color="auto"/>
        <w:bottom w:val="none" w:sz="0" w:space="0" w:color="auto"/>
        <w:right w:val="none" w:sz="0" w:space="0" w:color="auto"/>
      </w:divBdr>
      <w:divsChild>
        <w:div w:id="1757825970">
          <w:marLeft w:val="0"/>
          <w:marRight w:val="0"/>
          <w:marTop w:val="0"/>
          <w:marBottom w:val="0"/>
          <w:divBdr>
            <w:top w:val="none" w:sz="0" w:space="0" w:color="auto"/>
            <w:left w:val="none" w:sz="0" w:space="0" w:color="auto"/>
            <w:bottom w:val="none" w:sz="0" w:space="0" w:color="auto"/>
            <w:right w:val="none" w:sz="0" w:space="0" w:color="auto"/>
          </w:divBdr>
          <w:divsChild>
            <w:div w:id="1593125160">
              <w:marLeft w:val="0"/>
              <w:marRight w:val="0"/>
              <w:marTop w:val="0"/>
              <w:marBottom w:val="0"/>
              <w:divBdr>
                <w:top w:val="none" w:sz="0" w:space="0" w:color="auto"/>
                <w:left w:val="none" w:sz="0" w:space="0" w:color="auto"/>
                <w:bottom w:val="none" w:sz="0" w:space="0" w:color="auto"/>
                <w:right w:val="none" w:sz="0" w:space="0" w:color="auto"/>
              </w:divBdr>
              <w:divsChild>
                <w:div w:id="833453144">
                  <w:marLeft w:val="0"/>
                  <w:marRight w:val="0"/>
                  <w:marTop w:val="600"/>
                  <w:marBottom w:val="0"/>
                  <w:divBdr>
                    <w:top w:val="none" w:sz="0" w:space="0" w:color="auto"/>
                    <w:left w:val="none" w:sz="0" w:space="0" w:color="auto"/>
                    <w:bottom w:val="none" w:sz="0" w:space="0" w:color="auto"/>
                    <w:right w:val="none" w:sz="0" w:space="0" w:color="auto"/>
                  </w:divBdr>
                  <w:divsChild>
                    <w:div w:id="3923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4549">
      <w:bodyDiv w:val="1"/>
      <w:marLeft w:val="0"/>
      <w:marRight w:val="0"/>
      <w:marTop w:val="0"/>
      <w:marBottom w:val="0"/>
      <w:divBdr>
        <w:top w:val="none" w:sz="0" w:space="0" w:color="auto"/>
        <w:left w:val="none" w:sz="0" w:space="0" w:color="auto"/>
        <w:bottom w:val="none" w:sz="0" w:space="0" w:color="auto"/>
        <w:right w:val="none" w:sz="0" w:space="0" w:color="auto"/>
      </w:divBdr>
      <w:divsChild>
        <w:div w:id="429006557">
          <w:marLeft w:val="0"/>
          <w:marRight w:val="0"/>
          <w:marTop w:val="0"/>
          <w:marBottom w:val="0"/>
          <w:divBdr>
            <w:top w:val="none" w:sz="0" w:space="0" w:color="auto"/>
            <w:left w:val="none" w:sz="0" w:space="0" w:color="auto"/>
            <w:bottom w:val="none" w:sz="0" w:space="0" w:color="auto"/>
            <w:right w:val="none" w:sz="0" w:space="0" w:color="auto"/>
          </w:divBdr>
          <w:divsChild>
            <w:div w:id="866336363">
              <w:marLeft w:val="0"/>
              <w:marRight w:val="0"/>
              <w:marTop w:val="0"/>
              <w:marBottom w:val="0"/>
              <w:divBdr>
                <w:top w:val="none" w:sz="0" w:space="0" w:color="auto"/>
                <w:left w:val="none" w:sz="0" w:space="0" w:color="auto"/>
                <w:bottom w:val="none" w:sz="0" w:space="0" w:color="auto"/>
                <w:right w:val="none" w:sz="0" w:space="0" w:color="auto"/>
              </w:divBdr>
              <w:divsChild>
                <w:div w:id="1453552146">
                  <w:marLeft w:val="0"/>
                  <w:marRight w:val="0"/>
                  <w:marTop w:val="600"/>
                  <w:marBottom w:val="0"/>
                  <w:divBdr>
                    <w:top w:val="none" w:sz="0" w:space="0" w:color="auto"/>
                    <w:left w:val="none" w:sz="0" w:space="0" w:color="auto"/>
                    <w:bottom w:val="none" w:sz="0" w:space="0" w:color="auto"/>
                    <w:right w:val="none" w:sz="0" w:space="0" w:color="auto"/>
                  </w:divBdr>
                  <w:divsChild>
                    <w:div w:id="12776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98037">
      <w:bodyDiv w:val="1"/>
      <w:marLeft w:val="0"/>
      <w:marRight w:val="0"/>
      <w:marTop w:val="0"/>
      <w:marBottom w:val="0"/>
      <w:divBdr>
        <w:top w:val="none" w:sz="0" w:space="0" w:color="auto"/>
        <w:left w:val="none" w:sz="0" w:space="0" w:color="auto"/>
        <w:bottom w:val="none" w:sz="0" w:space="0" w:color="auto"/>
        <w:right w:val="none" w:sz="0" w:space="0" w:color="auto"/>
      </w:divBdr>
      <w:divsChild>
        <w:div w:id="757404167">
          <w:marLeft w:val="0"/>
          <w:marRight w:val="0"/>
          <w:marTop w:val="0"/>
          <w:marBottom w:val="0"/>
          <w:divBdr>
            <w:top w:val="none" w:sz="0" w:space="0" w:color="auto"/>
            <w:left w:val="none" w:sz="0" w:space="0" w:color="auto"/>
            <w:bottom w:val="none" w:sz="0" w:space="0" w:color="auto"/>
            <w:right w:val="none" w:sz="0" w:space="0" w:color="auto"/>
          </w:divBdr>
          <w:divsChild>
            <w:div w:id="1567184239">
              <w:marLeft w:val="0"/>
              <w:marRight w:val="0"/>
              <w:marTop w:val="0"/>
              <w:marBottom w:val="0"/>
              <w:divBdr>
                <w:top w:val="none" w:sz="0" w:space="0" w:color="auto"/>
                <w:left w:val="none" w:sz="0" w:space="0" w:color="auto"/>
                <w:bottom w:val="none" w:sz="0" w:space="0" w:color="auto"/>
                <w:right w:val="none" w:sz="0" w:space="0" w:color="auto"/>
              </w:divBdr>
              <w:divsChild>
                <w:div w:id="1568488698">
                  <w:marLeft w:val="0"/>
                  <w:marRight w:val="0"/>
                  <w:marTop w:val="600"/>
                  <w:marBottom w:val="0"/>
                  <w:divBdr>
                    <w:top w:val="none" w:sz="0" w:space="0" w:color="auto"/>
                    <w:left w:val="none" w:sz="0" w:space="0" w:color="auto"/>
                    <w:bottom w:val="none" w:sz="0" w:space="0" w:color="auto"/>
                    <w:right w:val="none" w:sz="0" w:space="0" w:color="auto"/>
                  </w:divBdr>
                  <w:divsChild>
                    <w:div w:id="11300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89118">
      <w:bodyDiv w:val="1"/>
      <w:marLeft w:val="0"/>
      <w:marRight w:val="0"/>
      <w:marTop w:val="0"/>
      <w:marBottom w:val="0"/>
      <w:divBdr>
        <w:top w:val="none" w:sz="0" w:space="0" w:color="auto"/>
        <w:left w:val="none" w:sz="0" w:space="0" w:color="auto"/>
        <w:bottom w:val="none" w:sz="0" w:space="0" w:color="auto"/>
        <w:right w:val="none" w:sz="0" w:space="0" w:color="auto"/>
      </w:divBdr>
    </w:div>
    <w:div w:id="908661255">
      <w:bodyDiv w:val="1"/>
      <w:marLeft w:val="0"/>
      <w:marRight w:val="0"/>
      <w:marTop w:val="0"/>
      <w:marBottom w:val="0"/>
      <w:divBdr>
        <w:top w:val="none" w:sz="0" w:space="0" w:color="auto"/>
        <w:left w:val="none" w:sz="0" w:space="0" w:color="auto"/>
        <w:bottom w:val="none" w:sz="0" w:space="0" w:color="auto"/>
        <w:right w:val="none" w:sz="0" w:space="0" w:color="auto"/>
      </w:divBdr>
      <w:divsChild>
        <w:div w:id="2097969115">
          <w:marLeft w:val="0"/>
          <w:marRight w:val="0"/>
          <w:marTop w:val="0"/>
          <w:marBottom w:val="0"/>
          <w:divBdr>
            <w:top w:val="none" w:sz="0" w:space="0" w:color="auto"/>
            <w:left w:val="none" w:sz="0" w:space="0" w:color="auto"/>
            <w:bottom w:val="none" w:sz="0" w:space="0" w:color="auto"/>
            <w:right w:val="none" w:sz="0" w:space="0" w:color="auto"/>
          </w:divBdr>
          <w:divsChild>
            <w:div w:id="1750421429">
              <w:marLeft w:val="0"/>
              <w:marRight w:val="0"/>
              <w:marTop w:val="0"/>
              <w:marBottom w:val="0"/>
              <w:divBdr>
                <w:top w:val="none" w:sz="0" w:space="0" w:color="auto"/>
                <w:left w:val="none" w:sz="0" w:space="0" w:color="auto"/>
                <w:bottom w:val="none" w:sz="0" w:space="0" w:color="auto"/>
                <w:right w:val="none" w:sz="0" w:space="0" w:color="auto"/>
              </w:divBdr>
              <w:divsChild>
                <w:div w:id="1395394950">
                  <w:marLeft w:val="0"/>
                  <w:marRight w:val="0"/>
                  <w:marTop w:val="600"/>
                  <w:marBottom w:val="0"/>
                  <w:divBdr>
                    <w:top w:val="none" w:sz="0" w:space="0" w:color="auto"/>
                    <w:left w:val="none" w:sz="0" w:space="0" w:color="auto"/>
                    <w:bottom w:val="none" w:sz="0" w:space="0" w:color="auto"/>
                    <w:right w:val="none" w:sz="0" w:space="0" w:color="auto"/>
                  </w:divBdr>
                  <w:divsChild>
                    <w:div w:id="180515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02532">
      <w:bodyDiv w:val="1"/>
      <w:marLeft w:val="0"/>
      <w:marRight w:val="0"/>
      <w:marTop w:val="0"/>
      <w:marBottom w:val="0"/>
      <w:divBdr>
        <w:top w:val="none" w:sz="0" w:space="0" w:color="auto"/>
        <w:left w:val="none" w:sz="0" w:space="0" w:color="auto"/>
        <w:bottom w:val="none" w:sz="0" w:space="0" w:color="auto"/>
        <w:right w:val="none" w:sz="0" w:space="0" w:color="auto"/>
      </w:divBdr>
      <w:divsChild>
        <w:div w:id="1694109806">
          <w:marLeft w:val="0"/>
          <w:marRight w:val="0"/>
          <w:marTop w:val="0"/>
          <w:marBottom w:val="0"/>
          <w:divBdr>
            <w:top w:val="none" w:sz="0" w:space="0" w:color="auto"/>
            <w:left w:val="none" w:sz="0" w:space="0" w:color="auto"/>
            <w:bottom w:val="none" w:sz="0" w:space="0" w:color="auto"/>
            <w:right w:val="none" w:sz="0" w:space="0" w:color="auto"/>
          </w:divBdr>
          <w:divsChild>
            <w:div w:id="1850020167">
              <w:marLeft w:val="0"/>
              <w:marRight w:val="0"/>
              <w:marTop w:val="0"/>
              <w:marBottom w:val="0"/>
              <w:divBdr>
                <w:top w:val="none" w:sz="0" w:space="0" w:color="auto"/>
                <w:left w:val="none" w:sz="0" w:space="0" w:color="auto"/>
                <w:bottom w:val="none" w:sz="0" w:space="0" w:color="auto"/>
                <w:right w:val="none" w:sz="0" w:space="0" w:color="auto"/>
              </w:divBdr>
              <w:divsChild>
                <w:div w:id="447512121">
                  <w:marLeft w:val="0"/>
                  <w:marRight w:val="0"/>
                  <w:marTop w:val="600"/>
                  <w:marBottom w:val="0"/>
                  <w:divBdr>
                    <w:top w:val="none" w:sz="0" w:space="0" w:color="auto"/>
                    <w:left w:val="none" w:sz="0" w:space="0" w:color="auto"/>
                    <w:bottom w:val="none" w:sz="0" w:space="0" w:color="auto"/>
                    <w:right w:val="none" w:sz="0" w:space="0" w:color="auto"/>
                  </w:divBdr>
                  <w:divsChild>
                    <w:div w:id="70027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258868">
      <w:bodyDiv w:val="1"/>
      <w:marLeft w:val="0"/>
      <w:marRight w:val="0"/>
      <w:marTop w:val="0"/>
      <w:marBottom w:val="0"/>
      <w:divBdr>
        <w:top w:val="none" w:sz="0" w:space="0" w:color="auto"/>
        <w:left w:val="none" w:sz="0" w:space="0" w:color="auto"/>
        <w:bottom w:val="none" w:sz="0" w:space="0" w:color="auto"/>
        <w:right w:val="none" w:sz="0" w:space="0" w:color="auto"/>
      </w:divBdr>
      <w:divsChild>
        <w:div w:id="336033786">
          <w:marLeft w:val="0"/>
          <w:marRight w:val="0"/>
          <w:marTop w:val="0"/>
          <w:marBottom w:val="0"/>
          <w:divBdr>
            <w:top w:val="none" w:sz="0" w:space="0" w:color="auto"/>
            <w:left w:val="none" w:sz="0" w:space="0" w:color="auto"/>
            <w:bottom w:val="none" w:sz="0" w:space="0" w:color="auto"/>
            <w:right w:val="none" w:sz="0" w:space="0" w:color="auto"/>
          </w:divBdr>
          <w:divsChild>
            <w:div w:id="1999917012">
              <w:marLeft w:val="0"/>
              <w:marRight w:val="0"/>
              <w:marTop w:val="0"/>
              <w:marBottom w:val="0"/>
              <w:divBdr>
                <w:top w:val="none" w:sz="0" w:space="0" w:color="auto"/>
                <w:left w:val="none" w:sz="0" w:space="0" w:color="auto"/>
                <w:bottom w:val="none" w:sz="0" w:space="0" w:color="auto"/>
                <w:right w:val="none" w:sz="0" w:space="0" w:color="auto"/>
              </w:divBdr>
              <w:divsChild>
                <w:div w:id="375008616">
                  <w:marLeft w:val="0"/>
                  <w:marRight w:val="0"/>
                  <w:marTop w:val="600"/>
                  <w:marBottom w:val="0"/>
                  <w:divBdr>
                    <w:top w:val="none" w:sz="0" w:space="0" w:color="auto"/>
                    <w:left w:val="none" w:sz="0" w:space="0" w:color="auto"/>
                    <w:bottom w:val="none" w:sz="0" w:space="0" w:color="auto"/>
                    <w:right w:val="none" w:sz="0" w:space="0" w:color="auto"/>
                  </w:divBdr>
                  <w:divsChild>
                    <w:div w:id="13054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3697">
      <w:bodyDiv w:val="1"/>
      <w:marLeft w:val="0"/>
      <w:marRight w:val="0"/>
      <w:marTop w:val="0"/>
      <w:marBottom w:val="0"/>
      <w:divBdr>
        <w:top w:val="none" w:sz="0" w:space="0" w:color="auto"/>
        <w:left w:val="none" w:sz="0" w:space="0" w:color="auto"/>
        <w:bottom w:val="none" w:sz="0" w:space="0" w:color="auto"/>
        <w:right w:val="none" w:sz="0" w:space="0" w:color="auto"/>
      </w:divBdr>
      <w:divsChild>
        <w:div w:id="112293579">
          <w:marLeft w:val="0"/>
          <w:marRight w:val="0"/>
          <w:marTop w:val="0"/>
          <w:marBottom w:val="0"/>
          <w:divBdr>
            <w:top w:val="none" w:sz="0" w:space="0" w:color="auto"/>
            <w:left w:val="none" w:sz="0" w:space="0" w:color="auto"/>
            <w:bottom w:val="none" w:sz="0" w:space="0" w:color="auto"/>
            <w:right w:val="none" w:sz="0" w:space="0" w:color="auto"/>
          </w:divBdr>
          <w:divsChild>
            <w:div w:id="1565484556">
              <w:marLeft w:val="0"/>
              <w:marRight w:val="0"/>
              <w:marTop w:val="0"/>
              <w:marBottom w:val="0"/>
              <w:divBdr>
                <w:top w:val="none" w:sz="0" w:space="0" w:color="auto"/>
                <w:left w:val="none" w:sz="0" w:space="0" w:color="auto"/>
                <w:bottom w:val="none" w:sz="0" w:space="0" w:color="auto"/>
                <w:right w:val="none" w:sz="0" w:space="0" w:color="auto"/>
              </w:divBdr>
              <w:divsChild>
                <w:div w:id="668750252">
                  <w:marLeft w:val="0"/>
                  <w:marRight w:val="0"/>
                  <w:marTop w:val="600"/>
                  <w:marBottom w:val="0"/>
                  <w:divBdr>
                    <w:top w:val="none" w:sz="0" w:space="0" w:color="auto"/>
                    <w:left w:val="none" w:sz="0" w:space="0" w:color="auto"/>
                    <w:bottom w:val="none" w:sz="0" w:space="0" w:color="auto"/>
                    <w:right w:val="none" w:sz="0" w:space="0" w:color="auto"/>
                  </w:divBdr>
                  <w:divsChild>
                    <w:div w:id="19913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Jing @ CBRE EA</dc:creator>
  <cp:keywords/>
  <dc:description/>
  <cp:lastModifiedBy>Tong, Christina @ CBRE EA</cp:lastModifiedBy>
  <cp:revision>3</cp:revision>
  <dcterms:created xsi:type="dcterms:W3CDTF">2021-06-01T18:52:00Z</dcterms:created>
  <dcterms:modified xsi:type="dcterms:W3CDTF">2021-06-01T18:52:00Z</dcterms:modified>
</cp:coreProperties>
</file>